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384ADD">
      <w:pPr>
        <w:rPr>
          <w:rFonts w:ascii="仿宋" w:hAnsi="仿宋" w:eastAsia="仿宋"/>
          <w:b/>
          <w:color w:val="000000"/>
          <w:sz w:val="36"/>
          <w:szCs w:val="36"/>
        </w:rPr>
      </w:pPr>
      <w:bookmarkStart w:id="0" w:name="_GoBack"/>
      <w:bookmarkEnd w:id="0"/>
      <w:r>
        <w:rPr>
          <w:rFonts w:hint="eastAsia" w:ascii="仿宋" w:hAnsi="仿宋" w:eastAsia="仿宋"/>
          <w:b/>
          <w:color w:val="000000"/>
          <w:sz w:val="36"/>
          <w:szCs w:val="36"/>
          <w:lang w:val="en-US" w:eastAsia="zh-CN"/>
        </w:rPr>
        <w:t>附件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>一</w:t>
      </w:r>
      <w:r>
        <w:rPr>
          <w:rFonts w:hint="eastAsia" w:ascii="仿宋" w:hAnsi="仿宋" w:eastAsia="仿宋"/>
          <w:b/>
          <w:color w:val="000000"/>
          <w:sz w:val="36"/>
          <w:szCs w:val="36"/>
          <w:lang w:eastAsia="zh-CN"/>
        </w:rPr>
        <w:t>：</w:t>
      </w:r>
      <w:r>
        <w:rPr>
          <w:rFonts w:hint="eastAsia" w:ascii="仿宋" w:hAnsi="仿宋" w:eastAsia="仿宋"/>
          <w:b/>
          <w:color w:val="000000"/>
          <w:sz w:val="36"/>
          <w:szCs w:val="36"/>
        </w:rPr>
        <w:t xml:space="preserve">  采购需求</w:t>
      </w:r>
    </w:p>
    <w:p w14:paraId="2500924C">
      <w:pPr>
        <w:tabs>
          <w:tab w:val="left" w:pos="1311"/>
        </w:tabs>
        <w:rPr>
          <w:rFonts w:hint="default" w:ascii="仿宋" w:hAnsi="仿宋" w:eastAsia="仿宋"/>
          <w:b/>
          <w:bCs/>
          <w:color w:val="000000"/>
          <w:sz w:val="40"/>
          <w:szCs w:val="40"/>
          <w:lang w:val="en-US" w:eastAsia="zh-CN"/>
        </w:rPr>
      </w:pPr>
      <w:r>
        <w:rPr>
          <w:rFonts w:hint="eastAsia" w:ascii="仿宋" w:hAnsi="仿宋" w:eastAsia="仿宋"/>
          <w:color w:val="000000"/>
          <w:sz w:val="36"/>
          <w:szCs w:val="36"/>
          <w:lang w:eastAsia="zh-CN"/>
        </w:rPr>
        <w:tab/>
      </w:r>
      <w:r>
        <w:rPr>
          <w:rFonts w:hint="eastAsia" w:ascii="仿宋" w:hAnsi="仿宋" w:eastAsia="仿宋"/>
          <w:color w:val="000000"/>
          <w:sz w:val="36"/>
          <w:szCs w:val="36"/>
          <w:lang w:val="en-US" w:eastAsia="zh-CN"/>
        </w:rPr>
        <w:t xml:space="preserve">             </w:t>
      </w:r>
      <w:r>
        <w:rPr>
          <w:rFonts w:hint="eastAsia" w:ascii="Times New Roman" w:hAnsi="Times New Roman" w:eastAsia="宋体" w:cs="Times New Roman"/>
          <w:b/>
          <w:bCs/>
          <w:color w:val="333333"/>
          <w:sz w:val="28"/>
          <w:szCs w:val="28"/>
          <w:lang w:val="en-US" w:eastAsia="zh-CN"/>
        </w:rPr>
        <w:t xml:space="preserve"> 消防水箱采</w:t>
      </w:r>
      <w:r>
        <w:rPr>
          <w:rFonts w:hint="eastAsia"/>
          <w:b/>
          <w:bCs/>
          <w:color w:val="333333"/>
          <w:sz w:val="28"/>
          <w:szCs w:val="28"/>
          <w:lang w:val="en-US" w:eastAsia="zh-CN"/>
        </w:rPr>
        <w:t>购报价表</w:t>
      </w:r>
    </w:p>
    <w:tbl>
      <w:tblPr>
        <w:tblStyle w:val="8"/>
        <w:tblW w:w="95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8"/>
        <w:gridCol w:w="542"/>
        <w:gridCol w:w="844"/>
        <w:gridCol w:w="581"/>
        <w:gridCol w:w="419"/>
        <w:gridCol w:w="1881"/>
        <w:gridCol w:w="1417"/>
        <w:gridCol w:w="1757"/>
        <w:gridCol w:w="1757"/>
      </w:tblGrid>
      <w:tr w14:paraId="16EA21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8" w:hRule="atLeast"/>
        </w:trPr>
        <w:tc>
          <w:tcPr>
            <w:tcW w:w="378" w:type="dxa"/>
            <w:noWrap w:val="0"/>
            <w:vAlign w:val="center"/>
          </w:tcPr>
          <w:p w14:paraId="1AF79AC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序号</w:t>
            </w:r>
          </w:p>
        </w:tc>
        <w:tc>
          <w:tcPr>
            <w:tcW w:w="542" w:type="dxa"/>
            <w:noWrap w:val="0"/>
            <w:vAlign w:val="center"/>
          </w:tcPr>
          <w:p w14:paraId="0C820446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名称</w:t>
            </w:r>
          </w:p>
        </w:tc>
        <w:tc>
          <w:tcPr>
            <w:tcW w:w="844" w:type="dxa"/>
            <w:noWrap w:val="0"/>
            <w:vAlign w:val="center"/>
          </w:tcPr>
          <w:p w14:paraId="60AB2C37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规格型号（L*W*H）</w:t>
            </w:r>
          </w:p>
        </w:tc>
        <w:tc>
          <w:tcPr>
            <w:tcW w:w="581" w:type="dxa"/>
            <w:noWrap w:val="0"/>
            <w:vAlign w:val="center"/>
          </w:tcPr>
          <w:p w14:paraId="6C0E57EE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单位</w:t>
            </w:r>
          </w:p>
        </w:tc>
        <w:tc>
          <w:tcPr>
            <w:tcW w:w="419" w:type="dxa"/>
            <w:noWrap w:val="0"/>
            <w:vAlign w:val="center"/>
          </w:tcPr>
          <w:p w14:paraId="4F544DF3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  <w:t>数量</w:t>
            </w:r>
          </w:p>
        </w:tc>
        <w:tc>
          <w:tcPr>
            <w:tcW w:w="1881" w:type="dxa"/>
            <w:noWrap w:val="0"/>
            <w:vAlign w:val="center"/>
          </w:tcPr>
          <w:p w14:paraId="155223E8">
            <w:pPr>
              <w:widowControl/>
              <w:jc w:val="center"/>
              <w:textAlignment w:val="center"/>
              <w:rPr>
                <w:rFonts w:hint="eastAsia" w:ascii="宋体" w:hAnsi="宋体" w:cs="宋体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技术参数</w:t>
            </w:r>
          </w:p>
        </w:tc>
        <w:tc>
          <w:tcPr>
            <w:tcW w:w="1417" w:type="dxa"/>
            <w:noWrap w:val="0"/>
            <w:vAlign w:val="center"/>
          </w:tcPr>
          <w:p w14:paraId="656CAC17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单价（元）</w:t>
            </w:r>
          </w:p>
        </w:tc>
        <w:tc>
          <w:tcPr>
            <w:tcW w:w="1757" w:type="dxa"/>
            <w:noWrap w:val="0"/>
            <w:vAlign w:val="center"/>
          </w:tcPr>
          <w:p w14:paraId="7FB7A3C1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总价（元）</w:t>
            </w:r>
          </w:p>
        </w:tc>
        <w:tc>
          <w:tcPr>
            <w:tcW w:w="1757" w:type="dxa"/>
            <w:noWrap w:val="0"/>
            <w:vAlign w:val="center"/>
          </w:tcPr>
          <w:p w14:paraId="2464695E">
            <w:pPr>
              <w:widowControl/>
              <w:jc w:val="center"/>
              <w:textAlignment w:val="center"/>
              <w:rPr>
                <w:rFonts w:hint="default" w:ascii="宋体" w:hAnsi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备注</w:t>
            </w:r>
          </w:p>
        </w:tc>
      </w:tr>
      <w:tr w14:paraId="2DE960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78" w:type="dxa"/>
            <w:noWrap w:val="0"/>
            <w:vAlign w:val="center"/>
          </w:tcPr>
          <w:p w14:paraId="53A790D9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1</w:t>
            </w:r>
          </w:p>
        </w:tc>
        <w:tc>
          <w:tcPr>
            <w:tcW w:w="542" w:type="dxa"/>
            <w:noWrap w:val="0"/>
            <w:vAlign w:val="center"/>
          </w:tcPr>
          <w:p w14:paraId="7D34E9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消防水箱</w:t>
            </w:r>
          </w:p>
        </w:tc>
        <w:tc>
          <w:tcPr>
            <w:tcW w:w="844" w:type="dxa"/>
            <w:noWrap w:val="0"/>
            <w:vAlign w:val="center"/>
          </w:tcPr>
          <w:p w14:paraId="7EC8D1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32m³</w:t>
            </w:r>
          </w:p>
        </w:tc>
        <w:tc>
          <w:tcPr>
            <w:tcW w:w="581" w:type="dxa"/>
            <w:noWrap w:val="0"/>
            <w:vAlign w:val="center"/>
          </w:tcPr>
          <w:p w14:paraId="4565AD9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419" w:type="dxa"/>
            <w:noWrap w:val="0"/>
            <w:vAlign w:val="center"/>
          </w:tcPr>
          <w:p w14:paraId="7945E40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881" w:type="dxa"/>
            <w:vMerge w:val="restart"/>
            <w:noWrap w:val="0"/>
            <w:vAlign w:val="top"/>
          </w:tcPr>
          <w:p w14:paraId="59E35E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1.全部过水部件采用304 不锈钢；2.底板≥1.5mm，侧板一层≥1.5mm，侧板二层≥1.2mm，顶板≥1.0mm（国标）；3.含人孔、扶梯、进出水、溢流、排污短接、法兰、密封件、拉筋等全套配件；4.符合 GB 50016《建筑设计防火规范》、GB 50974《消防给水及消火栓系统技术规范》。</w:t>
            </w:r>
          </w:p>
        </w:tc>
        <w:tc>
          <w:tcPr>
            <w:tcW w:w="1417" w:type="dxa"/>
            <w:noWrap w:val="0"/>
            <w:vAlign w:val="top"/>
          </w:tcPr>
          <w:p w14:paraId="2B55EA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57" w:type="dxa"/>
            <w:noWrap w:val="0"/>
            <w:vAlign w:val="top"/>
          </w:tcPr>
          <w:p w14:paraId="130F84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  <w:tc>
          <w:tcPr>
            <w:tcW w:w="1757" w:type="dxa"/>
            <w:noWrap w:val="0"/>
            <w:vAlign w:val="top"/>
          </w:tcPr>
          <w:p w14:paraId="61001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</w:p>
        </w:tc>
      </w:tr>
      <w:tr w14:paraId="2B98A6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78" w:type="dxa"/>
            <w:noWrap w:val="0"/>
            <w:vAlign w:val="center"/>
          </w:tcPr>
          <w:p w14:paraId="2AF4EE17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2</w:t>
            </w:r>
          </w:p>
        </w:tc>
        <w:tc>
          <w:tcPr>
            <w:tcW w:w="542" w:type="dxa"/>
            <w:noWrap w:val="0"/>
            <w:vAlign w:val="center"/>
          </w:tcPr>
          <w:p w14:paraId="158B5C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消防水箱</w:t>
            </w:r>
          </w:p>
        </w:tc>
        <w:tc>
          <w:tcPr>
            <w:tcW w:w="844" w:type="dxa"/>
            <w:noWrap w:val="0"/>
            <w:vAlign w:val="center"/>
          </w:tcPr>
          <w:p w14:paraId="78FD62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10m³</w:t>
            </w:r>
          </w:p>
        </w:tc>
        <w:tc>
          <w:tcPr>
            <w:tcW w:w="581" w:type="dxa"/>
            <w:noWrap w:val="0"/>
            <w:vAlign w:val="center"/>
          </w:tcPr>
          <w:p w14:paraId="636B7F08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419" w:type="dxa"/>
            <w:noWrap w:val="0"/>
            <w:vAlign w:val="center"/>
          </w:tcPr>
          <w:p w14:paraId="46DC8C1D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881" w:type="dxa"/>
            <w:vMerge w:val="continue"/>
            <w:noWrap w:val="0"/>
            <w:vAlign w:val="center"/>
          </w:tcPr>
          <w:p w14:paraId="4A66882D">
            <w:pPr>
              <w:snapToGrid w:val="0"/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5E0CAC83">
            <w:pPr>
              <w:snapToGrid w:val="0"/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7DD03D6B">
            <w:pPr>
              <w:snapToGrid w:val="0"/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483B8C65">
            <w:pPr>
              <w:snapToGrid w:val="0"/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  <w:tr w14:paraId="082B2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78" w:type="dxa"/>
            <w:noWrap w:val="0"/>
            <w:vAlign w:val="center"/>
          </w:tcPr>
          <w:p w14:paraId="290F93E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3</w:t>
            </w:r>
          </w:p>
        </w:tc>
        <w:tc>
          <w:tcPr>
            <w:tcW w:w="542" w:type="dxa"/>
            <w:noWrap w:val="0"/>
            <w:vAlign w:val="center"/>
          </w:tcPr>
          <w:p w14:paraId="64052C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消防水箱</w:t>
            </w:r>
          </w:p>
        </w:tc>
        <w:tc>
          <w:tcPr>
            <w:tcW w:w="844" w:type="dxa"/>
            <w:noWrap w:val="0"/>
            <w:vAlign w:val="center"/>
          </w:tcPr>
          <w:p w14:paraId="64E7CE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10m³</w:t>
            </w:r>
          </w:p>
        </w:tc>
        <w:tc>
          <w:tcPr>
            <w:tcW w:w="581" w:type="dxa"/>
            <w:noWrap w:val="0"/>
            <w:vAlign w:val="center"/>
          </w:tcPr>
          <w:p w14:paraId="2304EE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Times New Roman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个</w:t>
            </w:r>
          </w:p>
        </w:tc>
        <w:tc>
          <w:tcPr>
            <w:tcW w:w="419" w:type="dxa"/>
            <w:noWrap w:val="0"/>
            <w:vAlign w:val="center"/>
          </w:tcPr>
          <w:p w14:paraId="10DBD675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881" w:type="dxa"/>
            <w:vMerge w:val="continue"/>
            <w:noWrap w:val="0"/>
            <w:vAlign w:val="center"/>
          </w:tcPr>
          <w:p w14:paraId="7B1B0C2C">
            <w:pPr>
              <w:snapToGrid w:val="0"/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470D4874">
            <w:pPr>
              <w:snapToGrid w:val="0"/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58630B5C">
            <w:pPr>
              <w:snapToGrid w:val="0"/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55CE5CCD">
            <w:pPr>
              <w:snapToGrid w:val="0"/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717DBE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4" w:hRule="atLeast"/>
        </w:trPr>
        <w:tc>
          <w:tcPr>
            <w:tcW w:w="378" w:type="dxa"/>
            <w:noWrap w:val="0"/>
            <w:vAlign w:val="center"/>
          </w:tcPr>
          <w:p w14:paraId="5E9C620F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  <w:t>4</w:t>
            </w:r>
          </w:p>
        </w:tc>
        <w:tc>
          <w:tcPr>
            <w:tcW w:w="542" w:type="dxa"/>
            <w:noWrap w:val="0"/>
            <w:vAlign w:val="center"/>
          </w:tcPr>
          <w:p w14:paraId="56C28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消防水箱</w:t>
            </w:r>
          </w:p>
        </w:tc>
        <w:tc>
          <w:tcPr>
            <w:tcW w:w="844" w:type="dxa"/>
            <w:noWrap w:val="0"/>
            <w:vAlign w:val="center"/>
          </w:tcPr>
          <w:p w14:paraId="7051C0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2"/>
                <w:sz w:val="28"/>
                <w:szCs w:val="28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10.5m³</w:t>
            </w:r>
          </w:p>
        </w:tc>
        <w:tc>
          <w:tcPr>
            <w:tcW w:w="581" w:type="dxa"/>
            <w:noWrap w:val="0"/>
            <w:vAlign w:val="center"/>
          </w:tcPr>
          <w:p w14:paraId="1B8E71B2">
            <w:pPr>
              <w:spacing w:line="360" w:lineRule="auto"/>
              <w:jc w:val="center"/>
              <w:rPr>
                <w:rFonts w:hint="eastAsia" w:ascii="宋体" w:hAnsi="宋体" w:eastAsia="宋体" w:cs="宋体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lang w:val="en-US" w:eastAsia="zh-CN" w:bidi="ar"/>
              </w:rPr>
              <w:t>个</w:t>
            </w:r>
          </w:p>
        </w:tc>
        <w:tc>
          <w:tcPr>
            <w:tcW w:w="419" w:type="dxa"/>
            <w:noWrap w:val="0"/>
            <w:vAlign w:val="center"/>
          </w:tcPr>
          <w:p w14:paraId="6D2FCB08"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 w:bidi="ar"/>
              </w:rPr>
              <w:t>1</w:t>
            </w:r>
          </w:p>
        </w:tc>
        <w:tc>
          <w:tcPr>
            <w:tcW w:w="1881" w:type="dxa"/>
            <w:vMerge w:val="continue"/>
            <w:noWrap w:val="0"/>
            <w:vAlign w:val="center"/>
          </w:tcPr>
          <w:p w14:paraId="098C6AD0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33F157A0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52560B34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53DE36D1">
            <w:pPr>
              <w:spacing w:line="360" w:lineRule="auto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</w:tr>
      <w:tr w14:paraId="6DCF7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4" w:hRule="atLeast"/>
        </w:trPr>
        <w:tc>
          <w:tcPr>
            <w:tcW w:w="378" w:type="dxa"/>
            <w:noWrap w:val="0"/>
            <w:vAlign w:val="center"/>
          </w:tcPr>
          <w:p w14:paraId="6C83A6A1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42" w:type="dxa"/>
            <w:noWrap w:val="0"/>
            <w:vAlign w:val="center"/>
          </w:tcPr>
          <w:p w14:paraId="057751CB">
            <w:pPr>
              <w:spacing w:line="360" w:lineRule="auto"/>
              <w:jc w:val="center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844" w:type="dxa"/>
            <w:noWrap w:val="0"/>
            <w:vAlign w:val="center"/>
          </w:tcPr>
          <w:p w14:paraId="3D8CFCDB">
            <w:pPr>
              <w:widowControl/>
              <w:jc w:val="center"/>
              <w:textAlignment w:val="center"/>
              <w:rPr>
                <w:rFonts w:hint="eastAsia" w:ascii="宋体" w:hAnsi="宋体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581" w:type="dxa"/>
            <w:noWrap w:val="0"/>
            <w:vAlign w:val="center"/>
          </w:tcPr>
          <w:p w14:paraId="2F434A26">
            <w:pPr>
              <w:spacing w:line="360" w:lineRule="auto"/>
              <w:jc w:val="center"/>
              <w:rPr>
                <w:rFonts w:hint="eastAsia" w:ascii="宋体" w:hAnsi="宋体" w:cs="宋体"/>
                <w:sz w:val="18"/>
                <w:szCs w:val="18"/>
              </w:rPr>
            </w:pPr>
          </w:p>
        </w:tc>
        <w:tc>
          <w:tcPr>
            <w:tcW w:w="419" w:type="dxa"/>
            <w:noWrap w:val="0"/>
            <w:vAlign w:val="center"/>
          </w:tcPr>
          <w:p w14:paraId="61701351"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81" w:type="dxa"/>
            <w:noWrap w:val="0"/>
            <w:vAlign w:val="center"/>
          </w:tcPr>
          <w:p w14:paraId="62003D11">
            <w:pPr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227E2551">
            <w:pPr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05CCCC42">
            <w:pPr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1757" w:type="dxa"/>
            <w:noWrap w:val="0"/>
            <w:vAlign w:val="center"/>
          </w:tcPr>
          <w:p w14:paraId="130C7B0A">
            <w:pPr>
              <w:spacing w:line="360" w:lineRule="auto"/>
              <w:rPr>
                <w:rFonts w:hint="eastAsia" w:ascii="宋体" w:hAnsi="宋体" w:cs="宋体"/>
                <w:color w:val="000000"/>
                <w:sz w:val="18"/>
                <w:szCs w:val="18"/>
              </w:rPr>
            </w:pPr>
          </w:p>
        </w:tc>
      </w:tr>
    </w:tbl>
    <w:p w14:paraId="6AF368A3">
      <w:pPr>
        <w:rPr>
          <w:rFonts w:hint="eastAsia" w:ascii="仿宋" w:hAnsi="仿宋" w:eastAsia="仿宋"/>
          <w:color w:val="000000"/>
          <w:sz w:val="28"/>
          <w:szCs w:val="28"/>
        </w:rPr>
      </w:pPr>
    </w:p>
    <w:p w14:paraId="4943747C">
      <w:pPr>
        <w:rPr>
          <w:rFonts w:hint="eastAsia" w:ascii="仿宋" w:hAnsi="仿宋" w:eastAsia="仿宋"/>
          <w:b/>
          <w:bCs/>
          <w:color w:val="000000"/>
          <w:sz w:val="28"/>
          <w:szCs w:val="28"/>
        </w:rPr>
      </w:pPr>
      <w:r>
        <w:rPr>
          <w:rFonts w:hint="eastAsia" w:ascii="仿宋" w:hAnsi="仿宋" w:eastAsia="仿宋"/>
          <w:b/>
          <w:bCs/>
          <w:color w:val="000000"/>
          <w:sz w:val="28"/>
          <w:szCs w:val="28"/>
          <w:lang w:val="en-US" w:eastAsia="zh-CN"/>
        </w:rPr>
        <w:t>备注：</w:t>
      </w:r>
      <w:r>
        <w:rPr>
          <w:rFonts w:hint="eastAsia" w:ascii="仿宋" w:hAnsi="仿宋" w:eastAsia="仿宋"/>
          <w:b/>
          <w:bCs/>
          <w:color w:val="000000"/>
          <w:sz w:val="28"/>
          <w:szCs w:val="28"/>
        </w:rPr>
        <w:t>项目内容需包含</w:t>
      </w:r>
    </w:p>
    <w:p w14:paraId="76C992D0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1.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报价要求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报价包含：水箱本体、辅材、原水箱拆除、垃圾清运、管道改造、运输、吊装、安装、调试、消防检测、验收、税费、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年质保、售后服务等交付前全部费用，定标后不增补任何费用。</w:t>
      </w:r>
    </w:p>
    <w:p w14:paraId="66DEAE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2.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工期要求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合同签订后30个日历天内完成并通过验收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。</w:t>
      </w:r>
    </w:p>
    <w:p w14:paraId="144E643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质量与合规要求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水箱为全新原厂正品，无破损、无锈蚀、无变形。提供产品合格证、出厂检测报告。</w:t>
      </w:r>
    </w:p>
    <w:p w14:paraId="3F187E4C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安装符合国家消防规范与现场安全文明施工要求，通过校方验收。</w:t>
      </w:r>
    </w:p>
    <w:p w14:paraId="6BF449AB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4.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售后服务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质保期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3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年，接到故障通知24小时内上门，48小时内解决问题。</w:t>
      </w:r>
    </w:p>
    <w:p w14:paraId="0AED26A5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质保期内非人为损坏免费维修、免费更换部件。</w:t>
      </w:r>
    </w:p>
    <w:p w14:paraId="7B146416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ascii="Times New Roman" w:hAnsi="Times New Roman" w:eastAsia="宋体" w:cs="Times New Roman"/>
          <w:color w:val="000000"/>
          <w:sz w:val="24"/>
          <w:szCs w:val="24"/>
        </w:rPr>
      </w:pP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val="en-US" w:eastAsia="zh-CN"/>
        </w:rPr>
        <w:t>5.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验收标准</w:t>
      </w:r>
      <w:r>
        <w:rPr>
          <w:rFonts w:hint="eastAsia" w:ascii="Times New Roman" w:hAnsi="Times New Roman" w:eastAsia="宋体" w:cs="Times New Roman"/>
          <w:color w:val="000000"/>
          <w:sz w:val="24"/>
          <w:szCs w:val="24"/>
          <w:lang w:eastAsia="zh-CN"/>
        </w:rPr>
        <w:t>：</w:t>
      </w:r>
      <w:r>
        <w:rPr>
          <w:rFonts w:ascii="Times New Roman" w:hAnsi="Times New Roman" w:eastAsia="宋体" w:cs="Times New Roman"/>
          <w:color w:val="000000"/>
          <w:sz w:val="24"/>
          <w:szCs w:val="24"/>
        </w:rPr>
        <w:t>按招标文件、投标文件、合同、国家消防规范及技术参数验收。</w:t>
      </w:r>
    </w:p>
    <w:p w14:paraId="714E11F2"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-120" w:leftChars="-57" w:right="0" w:rightChars="0" w:firstLine="0" w:firstLineChars="0"/>
        <w:jc w:val="left"/>
        <w:rPr>
          <w:rFonts w:hint="default" w:ascii="仿宋" w:hAnsi="仿宋" w:eastAsia="仿宋" w:cs="仿宋"/>
          <w:b w:val="0"/>
          <w:bCs w:val="0"/>
          <w:sz w:val="32"/>
          <w:szCs w:val="32"/>
          <w:lang w:val="en-US" w:eastAsia="zh-CN"/>
        </w:rPr>
      </w:pPr>
      <w:r>
        <w:rPr>
          <w:rFonts w:ascii="Times New Roman" w:hAnsi="Times New Roman" w:eastAsia="宋体" w:cs="Times New Roman"/>
          <w:color w:val="000000"/>
          <w:sz w:val="24"/>
          <w:szCs w:val="24"/>
        </w:rPr>
        <w:t>水箱无渗漏、焊缝平整、结构稳固、配件齐全、功能正常。</w:t>
      </w: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49B17F">
    <w:pPr>
      <w:spacing w:before="1" w:line="235" w:lineRule="auto"/>
      <w:ind w:left="121"/>
      <w:rPr>
        <w:rFonts w:ascii="宋体" w:hAnsi="宋体" w:eastAsia="宋体" w:cs="宋体"/>
        <w:sz w:val="28"/>
        <w:szCs w:val="28"/>
      </w:rPr>
    </w:pPr>
    <w:r>
      <w:rPr>
        <w:rFonts w:ascii="宋体" w:hAnsi="宋体" w:eastAsia="宋体" w:cs="宋体"/>
        <w:spacing w:val="-6"/>
        <w:sz w:val="28"/>
        <w:szCs w:val="28"/>
      </w:rPr>
      <w:t>—</w:t>
    </w:r>
    <w:r>
      <w:rPr>
        <w:rFonts w:ascii="宋体" w:hAnsi="宋体" w:eastAsia="宋体" w:cs="宋体"/>
        <w:spacing w:val="8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4</w:t>
    </w:r>
    <w:r>
      <w:rPr>
        <w:rFonts w:ascii="宋体" w:hAnsi="宋体" w:eastAsia="宋体" w:cs="宋体"/>
        <w:spacing w:val="9"/>
        <w:sz w:val="28"/>
        <w:szCs w:val="28"/>
      </w:rPr>
      <w:t xml:space="preserve"> </w:t>
    </w:r>
    <w:r>
      <w:rPr>
        <w:rFonts w:ascii="宋体" w:hAnsi="宋体" w:eastAsia="宋体" w:cs="宋体"/>
        <w:spacing w:val="-6"/>
        <w:sz w:val="28"/>
        <w:szCs w:val="28"/>
      </w:rPr>
      <w:t>—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9FF40C">
    <w:pPr>
      <w:pStyle w:val="2"/>
      <w:keepNext w:val="0"/>
      <w:keepLines w:val="0"/>
      <w:widowControl/>
      <w:suppressLineNumbers w:val="0"/>
      <w:pBdr>
        <w:top w:val="none" w:color="auto" w:sz="0" w:space="0"/>
        <w:left w:val="none" w:color="auto" w:sz="0" w:space="0"/>
        <w:bottom w:val="single" w:color="ECECEC" w:sz="6" w:space="7"/>
        <w:right w:val="none" w:color="auto" w:sz="0" w:space="0"/>
      </w:pBdr>
      <w:shd w:val="clear" w:fill="FFFFFF"/>
      <w:spacing w:before="0" w:beforeAutospacing="0" w:after="0" w:afterAutospacing="0" w:line="390" w:lineRule="atLeast"/>
      <w:ind w:left="0" w:right="0" w:firstLine="0"/>
      <w:jc w:val="both"/>
      <w:rPr>
        <w:rFonts w:ascii="微软雅黑" w:hAnsi="微软雅黑" w:eastAsia="微软雅黑" w:cs="微软雅黑"/>
        <w:b/>
        <w:bCs/>
        <w:i w:val="0"/>
        <w:iCs w:val="0"/>
        <w:caps w:val="0"/>
        <w:color w:val="8F000B"/>
        <w:spacing w:val="0"/>
        <w:sz w:val="33"/>
        <w:szCs w:val="33"/>
      </w:rPr>
    </w:pPr>
  </w:p>
  <w:p w14:paraId="675F0F88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NhZmQyNzU1YWY5M2I2NDNhZmQ2ZGFlOTAwNjczYmUifQ=="/>
  </w:docVars>
  <w:rsids>
    <w:rsidRoot w:val="0098586C"/>
    <w:rsid w:val="00437597"/>
    <w:rsid w:val="006E4729"/>
    <w:rsid w:val="007E64FC"/>
    <w:rsid w:val="00804666"/>
    <w:rsid w:val="0098586C"/>
    <w:rsid w:val="01257A4C"/>
    <w:rsid w:val="012F0438"/>
    <w:rsid w:val="01477581"/>
    <w:rsid w:val="09A0136D"/>
    <w:rsid w:val="0BFC06F7"/>
    <w:rsid w:val="100F08ED"/>
    <w:rsid w:val="117D0518"/>
    <w:rsid w:val="132179FB"/>
    <w:rsid w:val="190912D0"/>
    <w:rsid w:val="1D9349F0"/>
    <w:rsid w:val="217F6677"/>
    <w:rsid w:val="220C1C8B"/>
    <w:rsid w:val="227439E1"/>
    <w:rsid w:val="22925F36"/>
    <w:rsid w:val="24044C11"/>
    <w:rsid w:val="280E1EE1"/>
    <w:rsid w:val="2AED63FF"/>
    <w:rsid w:val="2D3A16A4"/>
    <w:rsid w:val="2EFC0F71"/>
    <w:rsid w:val="2FD17AAB"/>
    <w:rsid w:val="30B71989"/>
    <w:rsid w:val="3347093D"/>
    <w:rsid w:val="3A7530B5"/>
    <w:rsid w:val="3E3F2FBE"/>
    <w:rsid w:val="434B31B8"/>
    <w:rsid w:val="43A95C8F"/>
    <w:rsid w:val="46E110B6"/>
    <w:rsid w:val="49D62A28"/>
    <w:rsid w:val="4A875AD1"/>
    <w:rsid w:val="610A2B60"/>
    <w:rsid w:val="61AA2CEE"/>
    <w:rsid w:val="6494438F"/>
    <w:rsid w:val="65D30B92"/>
    <w:rsid w:val="66FE6CC3"/>
    <w:rsid w:val="678216A2"/>
    <w:rsid w:val="6931339D"/>
    <w:rsid w:val="6A36369E"/>
    <w:rsid w:val="6A7C2557"/>
    <w:rsid w:val="6E693F80"/>
    <w:rsid w:val="73E831D5"/>
    <w:rsid w:val="7C412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1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1"/>
    <w:pPr>
      <w:spacing w:before="150"/>
      <w:ind w:left="768"/>
      <w:jc w:val="both"/>
      <w:outlineLvl w:val="1"/>
    </w:pPr>
    <w:rPr>
      <w:b/>
      <w:bCs/>
      <w:i/>
      <w:sz w:val="25"/>
      <w:szCs w:val="25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Hyperlink"/>
    <w:basedOn w:val="10"/>
    <w:semiHidden/>
    <w:unhideWhenUsed/>
    <w:qFormat/>
    <w:uiPriority w:val="99"/>
    <w:rPr>
      <w:color w:val="0000FF"/>
      <w:u w:val="single"/>
    </w:rPr>
  </w:style>
  <w:style w:type="paragraph" w:customStyle="1" w:styleId="12">
    <w:name w:val="正"/>
    <w:basedOn w:val="1"/>
    <w:qFormat/>
    <w:uiPriority w:val="0"/>
    <w:pPr>
      <w:tabs>
        <w:tab w:val="left" w:pos="-120"/>
      </w:tabs>
      <w:adjustRightInd w:val="0"/>
      <w:spacing w:line="560" w:lineRule="exact"/>
      <w:ind w:firstLine="600"/>
      <w:textAlignment w:val="baseline"/>
    </w:pPr>
    <w:rPr>
      <w:rFonts w:ascii="仿宋_GB2312" w:hAnsi="Times New Roman" w:eastAsia="仿宋_GB2312" w:cs="Times New Roman"/>
      <w:color w:val="000000"/>
      <w:spacing w:val="20"/>
      <w:sz w:val="28"/>
      <w:szCs w:val="28"/>
    </w:rPr>
  </w:style>
  <w:style w:type="character" w:customStyle="1" w:styleId="13">
    <w:name w:val="批注框文本 Char"/>
    <w:basedOn w:val="10"/>
    <w:link w:val="4"/>
    <w:semiHidden/>
    <w:qFormat/>
    <w:uiPriority w:val="99"/>
    <w:rPr>
      <w:sz w:val="18"/>
      <w:szCs w:val="18"/>
    </w:rPr>
  </w:style>
  <w:style w:type="character" w:customStyle="1" w:styleId="14">
    <w:name w:val="font01"/>
    <w:basedOn w:val="10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paragraph" w:customStyle="1" w:styleId="15">
    <w:name w:val="p_text_indent_2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customStyle="1" w:styleId="1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505</Words>
  <Characters>563</Characters>
  <Lines>1</Lines>
  <Paragraphs>1</Paragraphs>
  <TotalTime>0</TotalTime>
  <ScaleCrop>false</ScaleCrop>
  <LinksUpToDate>false</LinksUpToDate>
  <CharactersWithSpaces>584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2022-11-02T07:54:00Z</dcterms:created>
  <dc:creator>lenovo</dc:creator>
  <cp:lastModifiedBy>青言不语</cp:lastModifiedBy>
  <cp:lastPrinted>2026-03-25T07:12:00Z</cp:lastPrinted>
  <dcterms:modified xsi:type="dcterms:W3CDTF">2026-05-14T08:30:40Z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BCE6E1231C324215AD083E686A27E039_13</vt:lpwstr>
  </property>
  <property fmtid="{D5CDD505-2E9C-101B-9397-08002B2CF9AE}" pid="4" name="KSOTemplateDocerSaveRecord">
    <vt:lpwstr>eyJoZGlkIjoiNTJiMjdkMDI3YzViZGE0ZWRlYmQxZWNjYTM2MzFiMTMiLCJ1c2VySWQiOiIxNDk5NzY1NzM3In0=</vt:lpwstr>
  </property>
</Properties>
</file>